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60</w:t>
      </w:r>
    </w:p>
    <w:p>
      <w:r>
        <w:t>Bundesgericht (BGE), 2009-11-17, FR</w:t>
      </w:r>
    </w:p>
    <w:p>
      <w:r>
        <w:rPr>
          <w:b/>
        </w:rPr>
        <w:t xml:space="preserve">Quelle: </w:t>
      </w:r>
      <w:r>
        <w:t>https://mcp.opencaselaw.ch/entscheid/bge_136 III 60</w:t>
      </w:r>
    </w:p>
    <w:p>
      <w:r>
        <w:t>FR: ATF 136 III 60</w:t>
      </w:r>
    </w:p>
    <w:p>
      <w:r>
        <w:t>IT: DTF 136 III 60</w:t>
      </w:r>
    </w:p>
    <w:p>
      <w:pPr>
        <w:pStyle w:val="Heading2"/>
      </w:pPr>
      <w:r>
        <w:t>Regeste</w:t>
      </w:r>
    </w:p>
    <w:p>
      <w:r>
        <w:t>Regeste Art. 42 Abs. 1 und 2 sowie Art. 74 Abs. 1 lit. b BGG; Bestimmung des Streitwerts, wenn das Rechtsbegehren nicht auf Bezahlung einer bestimmten Geldsumme lautet. Lautet das Rechtsbegehren nicht auf Bezahlung einer bestimmten Geldsumme und lässt sich der Streitwert nicht ohne weiteres den Feststellungen des angefochtenen Entscheids oder weiteren Angaben aus den Akten entnehmen, so hat der Beschwerdeführer gemäss Art. 42 Abs. 1 und 2 BGG Angaben zu machen, die dem Bundesgericht eine einfache Ermittlung des Streitwerts ermöglichen; andernfalls erweist sich die Beschwerde als unzulässig (E. 1.1).</w:t>
      </w:r>
    </w:p>
    <w:p>
      <w:pPr>
        <w:pStyle w:val="Heading2"/>
      </w:pPr>
      <w:r>
        <w:t>Erwägungen</w:t>
      </w:r>
    </w:p>
    <w:p>
      <w:r>
        <w:rPr>
          <w:b/>
        </w:rPr>
        <w:t>E. 1</w:t>
      </w:r>
    </w:p>
    <w:p>
      <w:r>
        <w:t>(...)</w:t>
      </w:r>
    </w:p>
    <w:p>
      <w:r>
        <w:rPr>
          <w:b/>
        </w:rPr>
        <w:t>E. 1.1</w:t>
      </w:r>
    </w:p>
    <w:p>
      <w:r>
        <w:t>L'arrêt entrepris a été rendu dans une affaire civile ( art. 72 al. 1 LTF ), de nature pécuniaire.</w:t>
      </w:r>
    </w:p>
    <w:p>
      <w:r>
        <w:rPr>
          <w:b/>
        </w:rPr>
        <w:t>E. 1.1.1</w:t>
      </w:r>
    </w:p>
    <w:p>
      <w:r>
        <w:t>Le recours en matière civile n'est en principe ouvert que si la valeur litigieuse minimale de 30'000 fr. est atteinte ( art. 74 al. 1 let. b LTF ).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comme sous l'ancien droit ( art. 36 al. 2 OJ ; cf. Message du 28 février 2001 concernant la révision totale de l'organisation judiciaire fédérale, FF 2001 4099 ch. 4.1.2.6 in fine).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(cf. arrêt 5A_621/2007 du 15 août 2008 consid. 1.2; JEAN-FRANÇOIS POUDRET, Commentaire de la loi fédérale d'organisation judiciaire du 16 décembre 1943, vol. I, 1990, n° 4.1 ad art. 36 OJ ). Le recourant doit ainsi indiquer, conformément à l' art. 42 al. 1 et 2 LTF , les éléments suffisants pour permettre au Tribunal de céans d'estimer aisément la valeur litigieuse, sous peine d'irrecevabilité (JEAN-MAURICE FRÉSARD, Commentaire de la LTF, 2009, n° 7 ad art. 51 LTF ). Le Tribunal fédéral n'est toutefois lié ni par l'estimation de la partie recourante ou un accord des parties, ni par une estimation manifestement erronée de l'autorité cantonale (arrêt 5A_641/2008 du 8 janvier 2009 consid. 1.1 et la référence; BEAT RUDIN, in Basler Kommentar, Bundesgerichtsgesetz, n° 47 ad art. 51 LTF et les références). BGE 136 III 60 S. 63 Lorsque la contestation porte sur l'existence d'une servitude, on retiendra l'augmentation de valeur qu'elle procurerait au fonds dominant ou, si elle est plus élevée, la diminution de valeur du fonds servant ( ATF 113 II 151 consid. 1; ATF 95 II 14 consid. 1; arrêts 5A_23/2008 du 3 octobre 2008 consid. 1.1 et la jurisprudence citée; 5A_32/2008 du 29 janvier 2009 consid. 1.2; 5A_621/2007 précité consid. 1.2).</w:t>
      </w:r>
    </w:p>
    <w:p>
      <w:r>
        <w:rPr>
          <w:b/>
        </w:rPr>
        <w:t>E. 1.1.2</w:t>
      </w:r>
    </w:p>
    <w:p>
      <w:r>
        <w:t>En l'espèce, étaient encore litigieuses devant la dernière instance cantonale les conclusions de la recourante tendant à la suppression de la servitude de passage à pied et pour tous véhicules ainsi qu'à l'enlèvement du chemin aménagé sur l'assiette de cette servitude, la conclusion visant à la libération et à la radiation de la servitude de passage à pied grevant la parcelle n° 1669 en faveur de celle des intimés, ainsi que celle visant à faire supporter à ceux-ci l'entretien des forêts jouxtant ces deux servitudes de passage. La recourante soutient que la valeur litigieuse serait atteinte en considérant que l'entretien de la forêt serait une prestation périodique, chiffrée à 2'000 fr., qu'elle capitalise sur vingt ans. Elle affirme ensuite péremptoirement que le coût de l'enlèvement du chemin litigieux serait de 30'000 fr., mais ne donne aucune indication sur la valeur liée à la suppression des deux servitudes (passage pour tous véhicules et passage à pied exclusivement). Il ressort du dossier cantonal que le coût d'abattage des arbres, lié à l'entretien de la forêt, est de 2'000 fr. Cet abattage ponctuel, ne saurait toutefois être considéré sans autre comme une prestation périodique à capitaliser. Aucun élément ne permet en outre de retenir que l'enlèvement de l'aménagement du chemin serait supérieur à 30'000 fr., les intimés se référant à une pièce exposant que le coût d'aménagement s'est élevé à 15'000 fr. Quant à l'estimation du coût de la suppression de la servitude de passage à pied et pour tous véhicules, il est rappelé que celle-ci a été constituée pour un montant de 5'000 fr. Enfin, la recourante ne dit mot de la valeur liée à la suppression des deux servitudes de passage (à pied et pour tous véhicules) et les éléments du dossier ne permettent pas non plus de l'estimer. Il s'ensuit qu'il n'est donc pas possible de constater d'emblée et avec certitude que l'addition des divers chefs de conclusions formulés par la recourante atteint 30'000 fr. ( art. 52 LTF ). Faute de constatations ou d'éléments d'appréciation permettant au Tribunal fédéral de fixer aisément la valeur litigieuse, le recours en matière civile est donc irrecevable au regard de l' art. 74 al. 1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